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i w:val="1"/>
        </w:rPr>
      </w:pPr>
      <w:r w:rsidDel="00000000" w:rsidR="00000000" w:rsidRPr="00000000">
        <w:rPr>
          <w:rtl w:val="0"/>
        </w:rPr>
      </w:r>
    </w:p>
    <w:p w:rsidR="00000000" w:rsidDel="00000000" w:rsidP="00000000" w:rsidRDefault="00000000" w:rsidRPr="00000000" w14:paraId="00000002">
      <w:pPr>
        <w:jc w:val="center"/>
        <w:rPr>
          <w:i w:val="1"/>
        </w:rPr>
      </w:pPr>
      <w:r w:rsidDel="00000000" w:rsidR="00000000" w:rsidRPr="00000000">
        <w:rPr>
          <w:rtl w:val="0"/>
        </w:rPr>
      </w:r>
    </w:p>
    <w:p w:rsidR="00000000" w:rsidDel="00000000" w:rsidP="00000000" w:rsidRDefault="00000000" w:rsidRPr="00000000" w14:paraId="00000003">
      <w:pPr>
        <w:jc w:val="center"/>
        <w:rPr>
          <w:i w:val="1"/>
        </w:rPr>
      </w:pPr>
      <w:r w:rsidDel="00000000" w:rsidR="00000000" w:rsidRPr="00000000">
        <w:rPr>
          <w:rtl w:val="0"/>
        </w:rPr>
      </w:r>
    </w:p>
    <w:p w:rsidR="00000000" w:rsidDel="00000000" w:rsidP="00000000" w:rsidRDefault="00000000" w:rsidRPr="00000000" w14:paraId="00000004">
      <w:pPr>
        <w:jc w:val="center"/>
        <w:rPr>
          <w:i w:val="1"/>
        </w:rPr>
      </w:pPr>
      <w:r w:rsidDel="00000000" w:rsidR="00000000" w:rsidRPr="00000000">
        <w:rPr>
          <w:rtl w:val="0"/>
        </w:rPr>
      </w:r>
    </w:p>
    <w:p w:rsidR="00000000" w:rsidDel="00000000" w:rsidP="00000000" w:rsidRDefault="00000000" w:rsidRPr="00000000" w14:paraId="00000005">
      <w:pPr>
        <w:jc w:val="center"/>
        <w:rPr>
          <w:i w:val="1"/>
        </w:rPr>
      </w:pPr>
      <w:r w:rsidDel="00000000" w:rsidR="00000000" w:rsidRPr="00000000">
        <w:rPr>
          <w:rtl w:val="0"/>
        </w:rPr>
      </w:r>
    </w:p>
    <w:p w:rsidR="00000000" w:rsidDel="00000000" w:rsidP="00000000" w:rsidRDefault="00000000" w:rsidRPr="00000000" w14:paraId="00000006">
      <w:pPr>
        <w:jc w:val="center"/>
        <w:rPr>
          <w:i w:val="1"/>
        </w:rPr>
      </w:pPr>
      <w:r w:rsidDel="00000000" w:rsidR="00000000" w:rsidRPr="00000000">
        <w:rPr>
          <w:rtl w:val="0"/>
        </w:rPr>
      </w:r>
    </w:p>
    <w:p w:rsidR="00000000" w:rsidDel="00000000" w:rsidP="00000000" w:rsidRDefault="00000000" w:rsidRPr="00000000" w14:paraId="00000007">
      <w:pPr>
        <w:jc w:val="center"/>
        <w:rPr>
          <w:i w:val="1"/>
        </w:rPr>
      </w:pPr>
      <w:r w:rsidDel="00000000" w:rsidR="00000000" w:rsidRPr="00000000">
        <w:rPr>
          <w:rtl w:val="0"/>
        </w:rPr>
      </w:r>
    </w:p>
    <w:p w:rsidR="00000000" w:rsidDel="00000000" w:rsidP="00000000" w:rsidRDefault="00000000" w:rsidRPr="00000000" w14:paraId="00000008">
      <w:pPr>
        <w:jc w:val="center"/>
        <w:rPr>
          <w:i w:val="1"/>
        </w:rPr>
      </w:pPr>
      <w:r w:rsidDel="00000000" w:rsidR="00000000" w:rsidRPr="00000000">
        <w:rPr>
          <w:rtl w:val="0"/>
        </w:rPr>
      </w:r>
    </w:p>
    <w:p w:rsidR="00000000" w:rsidDel="00000000" w:rsidP="00000000" w:rsidRDefault="00000000" w:rsidRPr="00000000" w14:paraId="00000009">
      <w:pPr>
        <w:jc w:val="center"/>
        <w:rPr>
          <w:i w:val="1"/>
        </w:rPr>
      </w:pP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Goodyear Dunlop Tires Operations, S.A. v. Brown</w:t>
      </w:r>
    </w:p>
    <w:p w:rsidR="00000000" w:rsidDel="00000000" w:rsidP="00000000" w:rsidRDefault="00000000" w:rsidRPr="00000000" w14:paraId="0000000B">
      <w:pPr>
        <w:spacing w:line="48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Aaliyha Clemons</w:t>
      </w: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John Jay College</w:t>
      </w: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September 23, 2020</w:t>
      </w: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r>
    </w:p>
    <w:p w:rsidR="00000000" w:rsidDel="00000000" w:rsidP="00000000" w:rsidRDefault="00000000" w:rsidRPr="00000000" w14:paraId="0000000F">
      <w:pPr>
        <w:jc w:val="center"/>
        <w:rPr>
          <w:i w:val="1"/>
        </w:rPr>
      </w:pPr>
      <w:r w:rsidDel="00000000" w:rsidR="00000000" w:rsidRPr="00000000">
        <w:rPr>
          <w:rtl w:val="0"/>
        </w:rPr>
      </w:r>
    </w:p>
    <w:p w:rsidR="00000000" w:rsidDel="00000000" w:rsidP="00000000" w:rsidRDefault="00000000" w:rsidRPr="00000000" w14:paraId="00000010">
      <w:pPr>
        <w:jc w:val="center"/>
        <w:rPr>
          <w:i w:val="1"/>
        </w:rPr>
      </w:pPr>
      <w:r w:rsidDel="00000000" w:rsidR="00000000" w:rsidRPr="00000000">
        <w:rPr>
          <w:rtl w:val="0"/>
        </w:rPr>
      </w:r>
    </w:p>
    <w:p w:rsidR="00000000" w:rsidDel="00000000" w:rsidP="00000000" w:rsidRDefault="00000000" w:rsidRPr="00000000" w14:paraId="00000011">
      <w:pPr>
        <w:jc w:val="center"/>
        <w:rPr>
          <w:i w:val="1"/>
        </w:rPr>
      </w:pPr>
      <w:r w:rsidDel="00000000" w:rsidR="00000000" w:rsidRPr="00000000">
        <w:rPr>
          <w:rtl w:val="0"/>
        </w:rPr>
      </w:r>
    </w:p>
    <w:p w:rsidR="00000000" w:rsidDel="00000000" w:rsidP="00000000" w:rsidRDefault="00000000" w:rsidRPr="00000000" w14:paraId="00000012">
      <w:pPr>
        <w:jc w:val="center"/>
        <w:rPr>
          <w:i w:val="1"/>
        </w:rPr>
      </w:pPr>
      <w:r w:rsidDel="00000000" w:rsidR="00000000" w:rsidRPr="00000000">
        <w:rPr>
          <w:rtl w:val="0"/>
        </w:rPr>
      </w:r>
    </w:p>
    <w:p w:rsidR="00000000" w:rsidDel="00000000" w:rsidP="00000000" w:rsidRDefault="00000000" w:rsidRPr="00000000" w14:paraId="00000013">
      <w:pPr>
        <w:jc w:val="center"/>
        <w:rPr>
          <w:i w:val="1"/>
        </w:rPr>
      </w:pPr>
      <w:r w:rsidDel="00000000" w:rsidR="00000000" w:rsidRPr="00000000">
        <w:rPr>
          <w:rtl w:val="0"/>
        </w:rPr>
      </w:r>
    </w:p>
    <w:p w:rsidR="00000000" w:rsidDel="00000000" w:rsidP="00000000" w:rsidRDefault="00000000" w:rsidRPr="00000000" w14:paraId="00000014">
      <w:pPr>
        <w:jc w:val="center"/>
        <w:rPr>
          <w:i w:val="1"/>
        </w:rPr>
      </w:pPr>
      <w:r w:rsidDel="00000000" w:rsidR="00000000" w:rsidRPr="00000000">
        <w:rPr>
          <w:rtl w:val="0"/>
        </w:rPr>
      </w:r>
    </w:p>
    <w:p w:rsidR="00000000" w:rsidDel="00000000" w:rsidP="00000000" w:rsidRDefault="00000000" w:rsidRPr="00000000" w14:paraId="00000015">
      <w:pPr>
        <w:jc w:val="center"/>
        <w:rPr>
          <w:i w:val="1"/>
        </w:rPr>
      </w:pPr>
      <w:r w:rsidDel="00000000" w:rsidR="00000000" w:rsidRPr="00000000">
        <w:rPr>
          <w:rtl w:val="0"/>
        </w:rPr>
      </w:r>
    </w:p>
    <w:p w:rsidR="00000000" w:rsidDel="00000000" w:rsidP="00000000" w:rsidRDefault="00000000" w:rsidRPr="00000000" w14:paraId="00000016">
      <w:pPr>
        <w:jc w:val="center"/>
        <w:rPr>
          <w:i w:val="1"/>
        </w:rPr>
      </w:pPr>
      <w:r w:rsidDel="00000000" w:rsidR="00000000" w:rsidRPr="00000000">
        <w:rPr>
          <w:rtl w:val="0"/>
        </w:rPr>
      </w:r>
    </w:p>
    <w:p w:rsidR="00000000" w:rsidDel="00000000" w:rsidP="00000000" w:rsidRDefault="00000000" w:rsidRPr="00000000" w14:paraId="00000017">
      <w:pPr>
        <w:jc w:val="center"/>
        <w:rPr>
          <w:i w:val="1"/>
        </w:rPr>
      </w:pPr>
      <w:r w:rsidDel="00000000" w:rsidR="00000000" w:rsidRPr="00000000">
        <w:rPr>
          <w:rtl w:val="0"/>
        </w:rPr>
      </w:r>
    </w:p>
    <w:p w:rsidR="00000000" w:rsidDel="00000000" w:rsidP="00000000" w:rsidRDefault="00000000" w:rsidRPr="00000000" w14:paraId="00000018">
      <w:pPr>
        <w:jc w:val="center"/>
        <w:rPr>
          <w:i w:val="1"/>
        </w:rPr>
      </w:pPr>
      <w:r w:rsidDel="00000000" w:rsidR="00000000" w:rsidRPr="00000000">
        <w:rPr>
          <w:rtl w:val="0"/>
        </w:rPr>
      </w:r>
    </w:p>
    <w:p w:rsidR="00000000" w:rsidDel="00000000" w:rsidP="00000000" w:rsidRDefault="00000000" w:rsidRPr="00000000" w14:paraId="00000019">
      <w:pPr>
        <w:jc w:val="center"/>
        <w:rPr>
          <w:i w:val="1"/>
        </w:rPr>
      </w:pPr>
      <w:r w:rsidDel="00000000" w:rsidR="00000000" w:rsidRPr="00000000">
        <w:rPr>
          <w:rtl w:val="0"/>
        </w:rPr>
      </w:r>
    </w:p>
    <w:p w:rsidR="00000000" w:rsidDel="00000000" w:rsidP="00000000" w:rsidRDefault="00000000" w:rsidRPr="00000000" w14:paraId="0000001A">
      <w:pPr>
        <w:jc w:val="center"/>
        <w:rPr>
          <w:i w:val="1"/>
        </w:rPr>
      </w:pPr>
      <w:r w:rsidDel="00000000" w:rsidR="00000000" w:rsidRPr="00000000">
        <w:rPr>
          <w:rtl w:val="0"/>
        </w:rPr>
      </w:r>
    </w:p>
    <w:p w:rsidR="00000000" w:rsidDel="00000000" w:rsidP="00000000" w:rsidRDefault="00000000" w:rsidRPr="00000000" w14:paraId="0000001B">
      <w:pPr>
        <w:jc w:val="center"/>
        <w:rPr>
          <w:i w:val="1"/>
        </w:rPr>
      </w:pPr>
      <w:r w:rsidDel="00000000" w:rsidR="00000000" w:rsidRPr="00000000">
        <w:rPr>
          <w:rtl w:val="0"/>
        </w:rPr>
      </w:r>
    </w:p>
    <w:p w:rsidR="00000000" w:rsidDel="00000000" w:rsidP="00000000" w:rsidRDefault="00000000" w:rsidRPr="00000000" w14:paraId="0000001C">
      <w:pPr>
        <w:jc w:val="center"/>
        <w:rPr>
          <w:i w:val="1"/>
        </w:rPr>
      </w:pPr>
      <w:r w:rsidDel="00000000" w:rsidR="00000000" w:rsidRPr="00000000">
        <w:rPr>
          <w:rtl w:val="0"/>
        </w:rPr>
      </w:r>
    </w:p>
    <w:p w:rsidR="00000000" w:rsidDel="00000000" w:rsidP="00000000" w:rsidRDefault="00000000" w:rsidRPr="00000000" w14:paraId="0000001D">
      <w:pPr>
        <w:jc w:val="center"/>
        <w:rPr>
          <w:i w:val="1"/>
        </w:rPr>
      </w:pPr>
      <w:r w:rsidDel="00000000" w:rsidR="00000000" w:rsidRPr="00000000">
        <w:rPr>
          <w:rtl w:val="0"/>
        </w:rPr>
      </w:r>
    </w:p>
    <w:p w:rsidR="00000000" w:rsidDel="00000000" w:rsidP="00000000" w:rsidRDefault="00000000" w:rsidRPr="00000000" w14:paraId="0000001E">
      <w:pPr>
        <w:spacing w:line="48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Goodyear Dunlop Tires Operations, S. A. v. Brown</w:t>
      </w:r>
    </w:p>
    <w:p w:rsidR="00000000" w:rsidDel="00000000" w:rsidP="00000000" w:rsidRDefault="00000000" w:rsidRPr="00000000" w14:paraId="0000001F">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Citation</w:t>
      </w:r>
    </w:p>
    <w:p w:rsidR="00000000" w:rsidDel="00000000" w:rsidP="00000000" w:rsidRDefault="00000000" w:rsidRPr="00000000" w14:paraId="00000020">
      <w:pPr>
        <w:spacing w:line="48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Name of the case: </w:t>
      </w:r>
      <w:r w:rsidDel="00000000" w:rsidR="00000000" w:rsidRPr="00000000">
        <w:rPr>
          <w:rFonts w:ascii="Times New Roman" w:cs="Times New Roman" w:eastAsia="Times New Roman" w:hAnsi="Times New Roman"/>
          <w:i w:val="1"/>
          <w:sz w:val="24"/>
          <w:szCs w:val="24"/>
          <w:rtl w:val="0"/>
        </w:rPr>
        <w:t xml:space="preserve">Goodyear Dunlop Tires Operations, S. A. v. Brown</w:t>
      </w:r>
    </w:p>
    <w:p w:rsidR="00000000" w:rsidDel="00000000" w:rsidP="00000000" w:rsidRDefault="00000000" w:rsidRPr="00000000" w14:paraId="00000021">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Court that heard the case: North Carolina Court of Appeal</w:t>
      </w:r>
    </w:p>
    <w:p w:rsidR="00000000" w:rsidDel="00000000" w:rsidP="00000000" w:rsidRDefault="00000000" w:rsidRPr="00000000" w14:paraId="00000022">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when Court was decided: 27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June 2011 </w:t>
      </w:r>
    </w:p>
    <w:p w:rsidR="00000000" w:rsidDel="00000000" w:rsidP="00000000" w:rsidRDefault="00000000" w:rsidRPr="00000000" w14:paraId="00000023">
      <w:pPr>
        <w:pStyle w:val="Heading1"/>
        <w:shd w:fill="ffffff" w:val="clear"/>
        <w:spacing w:after="75" w:before="150" w:line="480" w:lineRule="auto"/>
        <w:jc w:val="both"/>
        <w:rPr>
          <w:b w:val="0"/>
          <w:color w:val="1a1a1a"/>
          <w:sz w:val="24"/>
          <w:szCs w:val="24"/>
        </w:rPr>
      </w:pPr>
      <w:r w:rsidDel="00000000" w:rsidR="00000000" w:rsidRPr="00000000">
        <w:rPr>
          <w:b w:val="0"/>
          <w:sz w:val="24"/>
          <w:szCs w:val="24"/>
          <w:rtl w:val="0"/>
        </w:rPr>
        <w:t xml:space="preserve">Reporter: </w:t>
      </w:r>
      <w:r w:rsidDel="00000000" w:rsidR="00000000" w:rsidRPr="00000000">
        <w:rPr>
          <w:b w:val="0"/>
          <w:color w:val="1a1a1a"/>
          <w:sz w:val="24"/>
          <w:szCs w:val="24"/>
          <w:rtl w:val="0"/>
        </w:rPr>
        <w:t xml:space="preserve">564 U.S. 915 (2011)</w:t>
      </w:r>
    </w:p>
    <w:p w:rsidR="00000000" w:rsidDel="00000000" w:rsidP="00000000" w:rsidRDefault="00000000" w:rsidRPr="00000000" w14:paraId="0000002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Facts</w:t>
      </w:r>
    </w:p>
    <w:p w:rsidR="00000000" w:rsidDel="00000000" w:rsidP="00000000" w:rsidRDefault="00000000" w:rsidRPr="00000000" w14:paraId="00000025">
      <w:pPr>
        <w:spacing w:after="0" w:line="480" w:lineRule="auto"/>
        <w:ind w:firstLine="85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case presents events on the accident that occurred to two sons of the residents of North Carolina state in Paris, France. The residents filed a suit for the unlawful death harm to North Carolina. The failure of the tyre influenced the accident. The defendants were three USA subsidiaries from Goodyear, a corporation in Ohio. The petitioners' tires are known to be manufactured for the Asian and European consumers, which are different in size compared to the ones sold in the U.S. markets. The petitioners do not have a license to operate a business in North Carolina- they have bank accounts, employees, or residence of commerce in the state (</w:t>
      </w:r>
      <w:r w:rsidDel="00000000" w:rsidR="00000000" w:rsidRPr="00000000">
        <w:rPr>
          <w:rFonts w:ascii="Times New Roman" w:cs="Times New Roman" w:eastAsia="Times New Roman" w:hAnsi="Times New Roman"/>
          <w:color w:val="000000"/>
          <w:sz w:val="24"/>
          <w:szCs w:val="24"/>
          <w:highlight w:val="white"/>
          <w:rtl w:val="0"/>
        </w:rPr>
        <w:t xml:space="preserve">Hoffheimer, 2014)</w:t>
      </w:r>
      <w:r w:rsidDel="00000000" w:rsidR="00000000" w:rsidRPr="00000000">
        <w:rPr>
          <w:rFonts w:ascii="Times New Roman" w:cs="Times New Roman" w:eastAsia="Times New Roman" w:hAnsi="Times New Roman"/>
          <w:sz w:val="24"/>
          <w:szCs w:val="24"/>
          <w:rtl w:val="0"/>
        </w:rPr>
        <w:t xml:space="preserve">. A trivial ratio of the enervates was dispersed to North Carolina by USA associates belonging to Goodyear corporation. The Court denies the petitioner's motion to deny the dues against them as they wanted personal jurisdiction. The Court affirmed and concluded that the Court of appeal in North Carolina had jurisdiction against the petitioner, who distributed their tires to the state via "a stream of business."</w:t>
      </w:r>
    </w:p>
    <w:p w:rsidR="00000000" w:rsidDel="00000000" w:rsidP="00000000" w:rsidRDefault="00000000" w:rsidRPr="00000000" w14:paraId="00000026">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Issue</w:t>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48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Could the Court of Appeal in North Carolina establish jurisdiction in the case?</w:t>
      </w:r>
      <w:r w:rsidDel="00000000" w:rsidR="00000000" w:rsidRPr="00000000">
        <w:rPr>
          <w:rtl w:val="0"/>
        </w:rPr>
      </w:r>
    </w:p>
    <w:p w:rsidR="00000000" w:rsidDel="00000000" w:rsidP="00000000" w:rsidRDefault="00000000" w:rsidRPr="00000000" w14:paraId="00000028">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Holding</w:t>
      </w:r>
    </w:p>
    <w:p w:rsidR="00000000" w:rsidDel="00000000" w:rsidP="00000000" w:rsidRDefault="00000000" w:rsidRPr="00000000" w14:paraId="0000002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The petitioners were considered not to be compliant to fit in the state following the claims not related to the petitioners' activities in the state forum.</w:t>
      </w:r>
    </w:p>
    <w:p w:rsidR="00000000" w:rsidDel="00000000" w:rsidP="00000000" w:rsidRDefault="00000000" w:rsidRPr="00000000" w14:paraId="0000002A">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Reasons</w:t>
      </w:r>
    </w:p>
    <w:p w:rsidR="00000000" w:rsidDel="00000000" w:rsidP="00000000" w:rsidRDefault="00000000" w:rsidRPr="00000000" w14:paraId="0000002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case against the defendant was bounded by the outstanding course section in the fourteenth amendment.  The decision of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international shoe Co. V. Washington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reveals that courts can work out authority over a defendant who does not belong to the state and has various contacts in the state, including the sustenance of suit, which is not against the values of justice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Chase &amp; Day, 2012)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out of state defendants </w:t>
      </w:r>
      <w:r w:rsidDel="00000000" w:rsidR="00000000" w:rsidRPr="00000000">
        <w:rPr>
          <w:rFonts w:ascii="Times New Roman" w:cs="Times New Roman" w:eastAsia="Times New Roman" w:hAnsi="Times New Roman"/>
          <w:sz w:val="24"/>
          <w:szCs w:val="24"/>
          <w:rtl w:val="0"/>
        </w:rPr>
        <w:t xml:space="preserve">have been presented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by the justice system to be of significance in making decisions. The Court realized that authority had to be asserted when the company involved is frequently involved and </w:t>
      </w:r>
      <w:r w:rsidDel="00000000" w:rsidR="00000000" w:rsidRPr="00000000">
        <w:rPr>
          <w:rFonts w:ascii="Times New Roman" w:cs="Times New Roman" w:eastAsia="Times New Roman" w:hAnsi="Times New Roman"/>
          <w:sz w:val="24"/>
          <w:szCs w:val="24"/>
          <w:rtl w:val="0"/>
        </w:rPr>
        <w:t xml:space="preserve">leads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episode-in-suit. It was also revealed that occasional and single acts in the state are sufficient in rendering the corporation responsible in North Carolina state concerning the acts, however, not considering the unrelated matters to the connections in the forum. The two descriptions present specific jurisdiction. The international shoe is considered different from events that fit in the precise jurisdiction. The concept drawn from the case explains why the Court could not hold the petitioners responsible following the lack of systematism and continuity.</w:t>
      </w:r>
    </w:p>
    <w:p w:rsidR="00000000" w:rsidDel="00000000" w:rsidP="00000000" w:rsidRDefault="00000000" w:rsidRPr="00000000" w14:paraId="0000002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supplicants did not have the incessant and orderly commercial relations that could allow that state to amuse suit against them, unconnected to whatsoever that could connect them to the municipal. There is a stream of business cases that North Carolina could relate with to enhance the exercise of specific authority, especially in product liability acts where nonresidents place a stream of businesses that causes harm outside their forum. The state laws sanction courts to enhance precise authority to the companies when they happen in the state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Hoffheimer, 2014)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this case, the court analysis omitted essential discrepancies amid general and specific jurisdiction. The flow of the company's products in the forum may have strengthened the specific authority. The company's frequent activity in the state does not provide enough support to establish that the corporation is responsible for the suits unrelated to activities. When measured against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the Helicopters vs. Perkins case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North Carolina could not subject the petitioner’s matter to general authority. </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Conclusion</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851"/>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North Carolina court of law decided that the firms presented were not agreeable to overall authority because of  the petitioners' connections to the state were not related to systematic and continuous commercial associates to permit the state to establish suit against them. The irregular sales of tires in the state via intermediaries were not sufficient to enhance universal jurisdiction declaration. In the process of giving justice, the Law court classified the case involving defendants outside the state. The jurisdiction could have been enhanced where the activity of the defendants was systematic and continuous.</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w:t>
      </w:r>
    </w:p>
    <w:p w:rsidR="00000000" w:rsidDel="00000000" w:rsidP="00000000" w:rsidRDefault="00000000" w:rsidRPr="00000000" w14:paraId="0000003B">
      <w:pPr>
        <w:spacing w:after="0" w:line="480" w:lineRule="auto"/>
        <w:ind w:left="720" w:hanging="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Chase, O., &amp; Day, L. (2012). Re-Examining New York’s Law of Personal Jurisdiction after Goodyear Dunlop Tires Operations, S.A. v. Brown and J. McIntyre Machinery, Ltd. v. Nicastro. </w:t>
      </w:r>
      <w:r w:rsidDel="00000000" w:rsidR="00000000" w:rsidRPr="00000000">
        <w:rPr>
          <w:rFonts w:ascii="Times New Roman" w:cs="Times New Roman" w:eastAsia="Times New Roman" w:hAnsi="Times New Roman"/>
          <w:i w:val="1"/>
          <w:color w:val="000000"/>
          <w:sz w:val="24"/>
          <w:szCs w:val="24"/>
          <w:highlight w:val="white"/>
          <w:rtl w:val="0"/>
        </w:rPr>
        <w:t xml:space="preserve">SSRN Electronic Journal</w:t>
      </w:r>
      <w:r w:rsidDel="00000000" w:rsidR="00000000" w:rsidRPr="00000000">
        <w:rPr>
          <w:rFonts w:ascii="Times New Roman" w:cs="Times New Roman" w:eastAsia="Times New Roman" w:hAnsi="Times New Roman"/>
          <w:color w:val="000000"/>
          <w:sz w:val="24"/>
          <w:szCs w:val="24"/>
          <w:highlight w:val="white"/>
          <w:rtl w:val="0"/>
        </w:rPr>
        <w:t xml:space="preserve">. DOI: 10.2139/ssrn.2088205</w:t>
      </w:r>
      <w:r w:rsidDel="00000000" w:rsidR="00000000" w:rsidRPr="00000000">
        <w:rPr>
          <w:rtl w:val="0"/>
        </w:rPr>
      </w:r>
    </w:p>
    <w:p w:rsidR="00000000" w:rsidDel="00000000" w:rsidP="00000000" w:rsidRDefault="00000000" w:rsidRPr="00000000" w14:paraId="0000003C">
      <w:pPr>
        <w:spacing w:after="0" w:line="480" w:lineRule="auto"/>
        <w:ind w:left="720" w:hanging="720"/>
        <w:jc w:val="both"/>
        <w:rPr>
          <w:rFonts w:ascii="Times New Roman" w:cs="Times New Roman" w:eastAsia="Times New Roman" w:hAnsi="Times New Roman"/>
          <w:color w:val="000000"/>
          <w:sz w:val="24"/>
          <w:szCs w:val="24"/>
          <w:highlight w:val="white"/>
        </w:rPr>
      </w:pPr>
      <w:bookmarkStart w:colFirst="0" w:colLast="0" w:name="_gjdgxs" w:id="0"/>
      <w:bookmarkEnd w:id="0"/>
      <w:r w:rsidDel="00000000" w:rsidR="00000000" w:rsidRPr="00000000">
        <w:rPr>
          <w:rFonts w:ascii="Times New Roman" w:cs="Times New Roman" w:eastAsia="Times New Roman" w:hAnsi="Times New Roman"/>
          <w:color w:val="000000"/>
          <w:sz w:val="24"/>
          <w:szCs w:val="24"/>
          <w:highlight w:val="white"/>
          <w:rtl w:val="0"/>
        </w:rPr>
        <w:t xml:space="preserve">Hoffheimer, M. (2014). General Personal Jurisdiction After Goodyear Dunlop Tires Operations, S.A. v. Brown. Retrieved from </w:t>
      </w:r>
      <w:hyperlink r:id="rId6">
        <w:r w:rsidDel="00000000" w:rsidR="00000000" w:rsidRPr="00000000">
          <w:rPr>
            <w:rFonts w:ascii="Times New Roman" w:cs="Times New Roman" w:eastAsia="Times New Roman" w:hAnsi="Times New Roman"/>
            <w:color w:val="000000"/>
            <w:sz w:val="24"/>
            <w:szCs w:val="24"/>
            <w:highlight w:val="white"/>
            <w:u w:val="none"/>
            <w:rtl w:val="0"/>
          </w:rPr>
          <w:t xml:space="preserve">https://kuscholarworks.ku.edu/bitstream/handle/1808/20185/02_Hoffheimer_Final.pdf;jsessionid=507FCB499AD9BB32DE4B0FD3E98BB2D5?sequence=1</w:t>
        </w:r>
      </w:hyperlink>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7" w:type="default"/>
      <w:headerReference r:id="rId8" w:type="first"/>
      <w:pgSz w:h="16838" w:w="11906"/>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Running head: </w:t>
    </w:r>
    <w:r w:rsidDel="00000000" w:rsidR="00000000" w:rsidRPr="00000000">
      <w:rPr>
        <w:rFonts w:ascii="Times New Roman" w:cs="Times New Roman" w:eastAsia="Times New Roman" w:hAnsi="Times New Roman"/>
        <w:color w:val="000000"/>
        <w:sz w:val="24"/>
        <w:szCs w:val="24"/>
        <w:rtl w:val="0"/>
      </w:rPr>
      <w:t xml:space="preserve">GOODYEAR DUNLOP TIRES OPERATIONS, S.A. V. BROWN         1</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GOODYEAR DUNLOP TIRES OPERATIONS, S.A. V. BROWN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kuscholarworks.ku.edu/bitstream/handle/1808/20185/02_Hoffheimer_Final.pdf;jsessionid=507FCB499AD9BB32DE4B0FD3E98BB2D5?sequence=1" TargetMode="Externa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